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D22" w:rsidRPr="00DC79D8" w:rsidRDefault="00471D22" w:rsidP="00471D22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DC79D8">
        <w:rPr>
          <w:rFonts w:ascii="Times New Roman" w:hAnsi="Times New Roman" w:cs="Times New Roman"/>
          <w:color w:val="000000"/>
          <w:sz w:val="32"/>
          <w:szCs w:val="32"/>
        </w:rPr>
        <w:t xml:space="preserve">СОВЕТ ПРИАРГУНСКОГО </w:t>
      </w:r>
    </w:p>
    <w:p w:rsidR="00471D22" w:rsidRPr="00DC79D8" w:rsidRDefault="00471D22" w:rsidP="00471D22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DC79D8">
        <w:rPr>
          <w:rFonts w:ascii="Times New Roman" w:hAnsi="Times New Roman" w:cs="Times New Roman"/>
          <w:color w:val="000000"/>
          <w:sz w:val="32"/>
          <w:szCs w:val="32"/>
        </w:rPr>
        <w:t>МУНИЦИПАЛЬНОГО ОКРУГА ЗАБАЙКАЛЬСКОГО КРАЯ</w:t>
      </w:r>
    </w:p>
    <w:p w:rsidR="00471D22" w:rsidRPr="00DC79D8" w:rsidRDefault="00471D22" w:rsidP="00471D22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71D22" w:rsidRPr="00471D22" w:rsidRDefault="00471D22" w:rsidP="00471D2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4"/>
          <w:sz w:val="32"/>
          <w:szCs w:val="32"/>
        </w:rPr>
      </w:pPr>
      <w:r w:rsidRPr="00471D22">
        <w:rPr>
          <w:rFonts w:ascii="Times New Roman" w:hAnsi="Times New Roman" w:cs="Times New Roman"/>
          <w:b/>
          <w:bCs/>
          <w:color w:val="000000"/>
          <w:spacing w:val="-14"/>
          <w:sz w:val="32"/>
          <w:szCs w:val="32"/>
        </w:rPr>
        <w:t>РЕШЕНИЕ</w:t>
      </w:r>
    </w:p>
    <w:p w:rsidR="00471D22" w:rsidRPr="00471D22" w:rsidRDefault="00471D22" w:rsidP="00471D22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71D22" w:rsidRPr="00471D22" w:rsidRDefault="002E21F4" w:rsidP="00471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r w:rsidR="00471D22" w:rsidRPr="00471D2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471D22" w:rsidRPr="00471D22">
        <w:rPr>
          <w:rFonts w:ascii="Times New Roman" w:hAnsi="Times New Roman" w:cs="Times New Roman"/>
          <w:sz w:val="28"/>
          <w:szCs w:val="28"/>
        </w:rPr>
        <w:t xml:space="preserve">года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№244</w:t>
      </w:r>
    </w:p>
    <w:p w:rsidR="00471D22" w:rsidRDefault="00471D22" w:rsidP="00471D22">
      <w:pPr>
        <w:spacing w:after="0" w:line="240" w:lineRule="auto"/>
        <w:jc w:val="center"/>
        <w:rPr>
          <w:i/>
          <w:szCs w:val="28"/>
        </w:rPr>
      </w:pPr>
    </w:p>
    <w:p w:rsidR="00471D22" w:rsidRDefault="00471D22" w:rsidP="00471D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1D22" w:rsidRPr="00471D22" w:rsidRDefault="00471D22" w:rsidP="00471D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71D2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71D22">
        <w:rPr>
          <w:rFonts w:ascii="Times New Roman" w:hAnsi="Times New Roman" w:cs="Times New Roman"/>
          <w:sz w:val="28"/>
          <w:szCs w:val="28"/>
        </w:rPr>
        <w:t>. Приаргунск</w:t>
      </w:r>
    </w:p>
    <w:p w:rsidR="00471D22" w:rsidRDefault="00471D22" w:rsidP="00471D22">
      <w:pPr>
        <w:spacing w:after="0" w:line="240" w:lineRule="auto"/>
        <w:jc w:val="center"/>
        <w:rPr>
          <w:i/>
          <w:szCs w:val="28"/>
        </w:rPr>
      </w:pPr>
    </w:p>
    <w:p w:rsidR="00EB1E06" w:rsidRPr="00FA1D13" w:rsidRDefault="00471D22" w:rsidP="005B6F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Порядка рассмотрения обращений граждан и организаций по фактам коррупционных правонарушений и несоблюдения муниципальными служащими</w:t>
      </w:r>
      <w:r w:rsidR="00EB1E06"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администрации</w:t>
      </w:r>
    </w:p>
    <w:p w:rsidR="005B6F2F" w:rsidRPr="00FA1D13" w:rsidRDefault="00EB1E06" w:rsidP="005B6F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Приаргунского муниципального округа</w:t>
      </w:r>
      <w:r w:rsidR="00471D22"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требований </w:t>
      </w:r>
    </w:p>
    <w:p w:rsidR="00471D22" w:rsidRPr="00FA1D13" w:rsidRDefault="00471D22" w:rsidP="005B6F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A1D1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 служебному поведению</w:t>
      </w:r>
    </w:p>
    <w:p w:rsidR="00471D22" w:rsidRPr="00471D22" w:rsidRDefault="00471D22" w:rsidP="00471D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D22" w:rsidRPr="005B6F2F" w:rsidRDefault="00471D22" w:rsidP="00471D2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положений </w:t>
      </w:r>
      <w:hyperlink r:id="rId4" w:anchor="7D20K3" w:history="1">
        <w:r w:rsidRPr="005B6F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от 25 декабря 2008 N 273-ФЗ "О противодействии коррупции"</w:t>
        </w:r>
      </w:hyperlink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5" w:history="1">
        <w:r w:rsidRPr="005B6F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 Президента Российской Федерации от 13</w:t>
        </w:r>
        <w:r w:rsidR="0084193C" w:rsidRPr="005B6F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апреля </w:t>
        </w:r>
        <w:r w:rsidRPr="005B6F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N 460 "О Национальной стратегии противодействия коррупции и Национальном плане противодействия коррупции на 2010 - 2011 годы"</w:t>
        </w:r>
      </w:hyperlink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повышения эффективности и результативности работы по рассмотрению обращений граждан и организаций по фактам коррупционных правонарушений, совершенных муниципальными служащими </w:t>
      </w:r>
      <w:r w:rsidR="0084193C"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Приаргунского муниципального округа</w:t>
      </w: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целях обеспечения возможности сообщения о принятых мерах</w:t>
      </w:r>
      <w:r w:rsidR="0084193C"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Приаргунского муниципального округа решил:</w:t>
      </w:r>
    </w:p>
    <w:p w:rsidR="00471D22" w:rsidRPr="005B6F2F" w:rsidRDefault="00471D22" w:rsidP="00471D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527" w:rsidRDefault="00471D22" w:rsidP="00C0452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Порядок рассмотрения обращений граждан и организаций по фактам коррупционных правонарушений и несоблюдения муниципальными служащими</w:t>
      </w:r>
      <w:r w:rsidR="00EB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93C"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Приаргунского муниципального округа </w:t>
      </w:r>
      <w:r w:rsidRPr="005B6F2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служебному поведению.</w:t>
      </w:r>
    </w:p>
    <w:p w:rsidR="005B6F2F" w:rsidRPr="00C04527" w:rsidRDefault="00C04527" w:rsidP="00C0452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F2F" w:rsidRPr="005B6F2F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5B6F2F" w:rsidRPr="005B6F2F" w:rsidRDefault="005B6F2F" w:rsidP="006743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C0452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B6F2F">
        <w:rPr>
          <w:rFonts w:ascii="Times New Roman" w:hAnsi="Times New Roman" w:cs="Times New Roman"/>
          <w:color w:val="000000"/>
          <w:sz w:val="28"/>
          <w:szCs w:val="28"/>
        </w:rPr>
        <w:t>. Настоящее решение опубликовать на официальном сайте</w:t>
      </w:r>
      <w:r w:rsidR="0067433B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5B6F2F">
        <w:rPr>
          <w:rFonts w:ascii="Times New Roman" w:hAnsi="Times New Roman" w:cs="Times New Roman"/>
          <w:color w:val="000000"/>
          <w:sz w:val="28"/>
          <w:szCs w:val="28"/>
        </w:rPr>
        <w:t>риаргунского муниципального округа в сети «Интернет» https://priarg.75.ru/.</w:t>
      </w:r>
    </w:p>
    <w:p w:rsidR="0067433B" w:rsidRDefault="0067433B" w:rsidP="0067433B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433B" w:rsidRDefault="0067433B" w:rsidP="0067433B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433B" w:rsidRPr="0067433B" w:rsidRDefault="0067433B" w:rsidP="0067433B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433B" w:rsidRPr="003E7589" w:rsidRDefault="0067433B" w:rsidP="0067433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E7589">
        <w:rPr>
          <w:rFonts w:ascii="Times New Roman" w:hAnsi="Times New Roman" w:cs="Times New Roman"/>
          <w:color w:val="000000"/>
          <w:sz w:val="28"/>
          <w:szCs w:val="28"/>
        </w:rPr>
        <w:t>Глава Приаргунского</w:t>
      </w:r>
    </w:p>
    <w:p w:rsidR="0067433B" w:rsidRPr="003E7589" w:rsidRDefault="0067433B" w:rsidP="0067433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E7589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67433B" w:rsidRPr="003E7589" w:rsidRDefault="0067433B" w:rsidP="0067433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E7589">
        <w:rPr>
          <w:rFonts w:ascii="Times New Roman" w:hAnsi="Times New Roman" w:cs="Times New Roman"/>
          <w:color w:val="000000"/>
          <w:sz w:val="28"/>
          <w:szCs w:val="28"/>
        </w:rPr>
        <w:t xml:space="preserve">Забайкальского края                                                                </w:t>
      </w:r>
      <w:r w:rsidRPr="003E758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</w:t>
      </w:r>
      <w:r w:rsidR="003E758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E7589">
        <w:rPr>
          <w:rFonts w:ascii="Times New Roman" w:hAnsi="Times New Roman" w:cs="Times New Roman"/>
          <w:color w:val="000000"/>
          <w:sz w:val="28"/>
          <w:szCs w:val="28"/>
        </w:rPr>
        <w:t>Е.В. Логунов</w:t>
      </w:r>
    </w:p>
    <w:p w:rsidR="0067433B" w:rsidRPr="0067433B" w:rsidRDefault="0067433B" w:rsidP="0067433B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7A88" w:rsidRDefault="003D7A88" w:rsidP="00A43B2A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43B2A" w:rsidRPr="00A43B2A" w:rsidRDefault="00DC6081" w:rsidP="00A43B2A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</w:t>
      </w:r>
      <w:r w:rsidR="00A43B2A" w:rsidRPr="00A43B2A">
        <w:rPr>
          <w:rFonts w:ascii="Times New Roman" w:hAnsi="Times New Roman" w:cs="Times New Roman"/>
          <w:bCs/>
          <w:color w:val="000000"/>
          <w:sz w:val="28"/>
          <w:szCs w:val="28"/>
        </w:rPr>
        <w:t>риложение</w:t>
      </w:r>
    </w:p>
    <w:p w:rsidR="00A43B2A" w:rsidRPr="00A43B2A" w:rsidRDefault="00A43B2A" w:rsidP="00A43B2A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43B2A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Приаргунского </w:t>
      </w:r>
    </w:p>
    <w:p w:rsidR="00A43B2A" w:rsidRPr="00A43B2A" w:rsidRDefault="00A43B2A" w:rsidP="00A43B2A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43B2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A43B2A" w:rsidRPr="002E21F4" w:rsidRDefault="00A43B2A" w:rsidP="002E21F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21F4">
        <w:rPr>
          <w:rFonts w:ascii="Times New Roman" w:hAnsi="Times New Roman" w:cs="Times New Roman"/>
          <w:sz w:val="28"/>
          <w:szCs w:val="28"/>
        </w:rPr>
        <w:t xml:space="preserve">            от 31 мая </w:t>
      </w:r>
      <w:r w:rsidRPr="00A43B2A">
        <w:rPr>
          <w:rFonts w:ascii="Times New Roman" w:hAnsi="Times New Roman" w:cs="Times New Roman"/>
          <w:sz w:val="28"/>
          <w:szCs w:val="28"/>
        </w:rPr>
        <w:t>20</w:t>
      </w:r>
      <w:r w:rsidR="002E21F4">
        <w:rPr>
          <w:rFonts w:ascii="Times New Roman" w:hAnsi="Times New Roman" w:cs="Times New Roman"/>
          <w:sz w:val="28"/>
          <w:szCs w:val="28"/>
        </w:rPr>
        <w:t xml:space="preserve">22 </w:t>
      </w:r>
      <w:r w:rsidRPr="00A43B2A">
        <w:rPr>
          <w:rFonts w:ascii="Times New Roman" w:hAnsi="Times New Roman" w:cs="Times New Roman"/>
          <w:sz w:val="28"/>
          <w:szCs w:val="28"/>
        </w:rPr>
        <w:t>года №</w:t>
      </w:r>
      <w:r w:rsidR="002E21F4">
        <w:rPr>
          <w:rFonts w:ascii="Times New Roman" w:hAnsi="Times New Roman" w:cs="Times New Roman"/>
          <w:sz w:val="28"/>
          <w:szCs w:val="28"/>
        </w:rPr>
        <w:t>244</w:t>
      </w:r>
    </w:p>
    <w:p w:rsidR="0034481B" w:rsidRPr="00EB1E06" w:rsidRDefault="00471D22" w:rsidP="00EB1E0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1D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4481B" w:rsidRPr="00EB1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:rsidR="00EB1E06" w:rsidRDefault="0034481B" w:rsidP="00EB1E0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1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рассмотрения обращений граждан и организаций по фактам коррупционных правонарушений и несоблюдения муниципальными</w:t>
      </w:r>
      <w:r w:rsidR="00EB1E06" w:rsidRPr="00EB1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служащими</w:t>
      </w:r>
      <w:r w:rsidR="00DC6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администрации</w:t>
      </w:r>
      <w:r w:rsidR="00EB1E06" w:rsidRPr="00EB1E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1E06" w:rsidRPr="00EB1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Приаргунского муниципального округа требований к служебному поведению</w:t>
      </w:r>
    </w:p>
    <w:p w:rsidR="00EB1E06" w:rsidRDefault="0034481B" w:rsidP="00EB1E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27473" w:rsidRDefault="00EB1E06" w:rsidP="006274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устанавливает процедуру рассмотрения обращений граждан и организаций (юридических лиц) (далее - заявитель) по вопросам коррупционных правонарушений, совершенных муниципальными служащими</w:t>
      </w:r>
      <w:r w:rsidR="005D71B8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Приаргунского муниципального округа (далее –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округа) требований к служебному поведению,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несоблюдения муниципальными служащими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обязанностей, ограничений и запретов, связанных с муниципальной службой, требований к служебному поведению, а также о наличии у муниципального служащего личной заинтересованности, которая приводит или может привести к конфликту интересов, о возникновении конфликта интересов, а также порядок регистрации таких обращений.</w:t>
      </w:r>
    </w:p>
    <w:p w:rsidR="00627473" w:rsidRDefault="00EB1E06" w:rsidP="006274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Прием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</w:t>
      </w:r>
      <w:r w:rsidR="00885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делами 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округа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 выходных и праздничных дней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533D" w:rsidRDefault="00EB1E06" w:rsidP="006274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Управление </w:t>
      </w:r>
      <w:r w:rsid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делами администрации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своей компетенции дает консультации и разъяснения по поставленным вопросам либо разъясняет заявителю о н</w:t>
      </w:r>
      <w:r w:rsidR="0088533D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еобходимости обратиться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структурные подразделения администрации </w:t>
      </w:r>
      <w:r w:rsidR="0088533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соответствующие государственные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органы, иные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самоуправления,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иные органы (в зависимости от поставленного вопроса).</w:t>
      </w:r>
    </w:p>
    <w:p w:rsidR="0088533D" w:rsidRDefault="00130BC8" w:rsidP="00130B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для решения вопроса требуется дополнительное изучение, заявитель в письменном виде излагает свой вопрос. Письменное обращение далее рассматривается в установленном порядке.</w:t>
      </w:r>
    </w:p>
    <w:p w:rsidR="00F83765" w:rsidRDefault="00130BC8" w:rsidP="00130B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Письменные обращения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поступат</w:t>
      </w:r>
      <w:r w:rsidR="0086212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специальный ящик "Для обращений граждан по вопросам коррупции", установленный в фойе здания </w:t>
      </w:r>
      <w:r w:rsidR="00F8376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ежедневно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изымаются 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специалистом администрации округа за работу по противодействию коррупции</w:t>
      </w:r>
      <w:r w:rsidR="001C35C7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специалист по противодействию коррупции). Письменные обращения могут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направлят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почтовому адресу</w:t>
      </w:r>
      <w:r w:rsidR="001C3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83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674310, Забайкальский край, </w:t>
      </w:r>
      <w:proofErr w:type="spellStart"/>
      <w:r w:rsidR="00F83765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F8376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Приаргунск, ул. Ленина, 6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6CAB" w:rsidRDefault="00130BC8" w:rsidP="00130BC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Обращения в форме электронного документа</w:t>
      </w:r>
      <w:r w:rsidR="0045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направлены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электронный почтовый ящик </w:t>
      </w:r>
      <w:hyperlink r:id="rId6" w:history="1"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pochta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@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priargunsk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e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-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zab</w:t>
        </w:r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46CAB" w:rsidRPr="00A12F5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A46CAB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распечатываются ответственным специалистом </w:t>
      </w:r>
      <w:r w:rsidR="00A46C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 (секретарем)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бумажном носителе, и в дальнейшем работа с ним осуществляется аналогично письменному обращению.</w:t>
      </w:r>
    </w:p>
    <w:p w:rsidR="00FB0DB2" w:rsidRDefault="00A46CAB" w:rsidP="0092378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обращении указываются сведения, необходимые для его исполнения.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обращения граждан должны </w:t>
      </w:r>
      <w:proofErr w:type="gramStart"/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содержать: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B0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FB0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адрес органа, в который направляется обращение, либо фамилию, имя, отчество (последнее - при наличии) соответствующего должностного лица, либо должность соответствующего должностного лица;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свою фамилию, имя, отчество (последнее - при наличии);</w:t>
      </w:r>
    </w:p>
    <w:p w:rsidR="00FB0DB2" w:rsidRDefault="00FB0DB2" w:rsidP="00FB0DB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адрес, по которому должны быть направлены ответ, уведомление о переадресации обращения;</w:t>
      </w:r>
    </w:p>
    <w:p w:rsidR="007B6BA3" w:rsidRDefault="00EA50F1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телефон;</w:t>
      </w:r>
    </w:p>
    <w:p w:rsidR="007B6BA3" w:rsidRDefault="007B6BA3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сути заявления или жалобы;</w:t>
      </w:r>
    </w:p>
    <w:p w:rsidR="007B6BA3" w:rsidRDefault="007B6BA3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подпись гражданина;</w:t>
      </w:r>
    </w:p>
    <w:p w:rsidR="007B6BA3" w:rsidRDefault="007B6BA3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дата.</w:t>
      </w:r>
    </w:p>
    <w:p w:rsidR="00B63247" w:rsidRDefault="007B6BA3" w:rsidP="007B6BA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подтверждение своих доводов гражданин вправе приложить к письменному обращению документы и материалы либо их копии.</w:t>
      </w:r>
    </w:p>
    <w:p w:rsidR="00524C3C" w:rsidRDefault="00B63247" w:rsidP="00524C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обращении, поступившем в администрацию </w:t>
      </w:r>
      <w:r w:rsidR="00524C3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должностному лицу в форме электронного документа, гражданин в обязательном порядке указывает: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4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фамилию, имя, отчество (последнее - при наличии);</w:t>
      </w:r>
    </w:p>
    <w:p w:rsidR="004A69A3" w:rsidRDefault="004A69A3" w:rsidP="00524C3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</w:p>
    <w:p w:rsidR="004A69A3" w:rsidRDefault="00471D22" w:rsidP="004A69A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юридического лица готовится на бланке организации (наименование организации, юридический адрес организации, контактный телефон и т.д.) и должен содержать:</w:t>
      </w:r>
    </w:p>
    <w:p w:rsidR="00F074E5" w:rsidRDefault="00822BA6" w:rsidP="00F074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 адрес органа, в который направляется обращение, либо фамилию, имя, отчество (последнее - при наличии) соответствующего должностного лица, либо должность соответствующего должностного лица;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7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существа запроса;</w:t>
      </w:r>
    </w:p>
    <w:p w:rsidR="00F074E5" w:rsidRDefault="00F074E5" w:rsidP="00F074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уполномоченного представителя;</w:t>
      </w:r>
    </w:p>
    <w:p w:rsidR="00F074E5" w:rsidRDefault="00F074E5" w:rsidP="00F074E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руководителя организации или иного уполномоченного в установленном порядке лица;</w:t>
      </w:r>
    </w:p>
    <w:p w:rsidR="00606412" w:rsidRDefault="00F074E5" w:rsidP="0060641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05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дата.</w:t>
      </w:r>
    </w:p>
    <w:p w:rsidR="00606412" w:rsidRDefault="00606412" w:rsidP="0060641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Письменные обращения в течение трех дней с момента поступления регистрируются в установленном порядке.</w:t>
      </w:r>
    </w:p>
    <w:p w:rsidR="00375428" w:rsidRDefault="00375428" w:rsidP="0037542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Предварительную оценку обращений по фактам коррупции на относимость к указанной категории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специалист по противодействию коррупции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дней (далее – специалист по противодействию коррупции)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0B66" w:rsidRDefault="004F0B66" w:rsidP="004F0B6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случае выявления в обращениях фактов коррупции они незамедлительно направляются главе</w:t>
      </w:r>
      <w:r w:rsidR="00CC6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Приаргунского муниципального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CC64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(далее – глава округа)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заместителю, курирующему деятельность по противодействию коррупции, которые принимают необходимые организационные решения (резолюции) о специальном порядке дальнейшего рассмотрения по существу, в том числе определяют исполнителей и устанавливают особый контроль за рассмотрением обращений.</w:t>
      </w:r>
    </w:p>
    <w:p w:rsidR="008E6C37" w:rsidRDefault="00471D22" w:rsidP="00386FB2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обращения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главой </w:t>
      </w:r>
      <w:r w:rsidR="00386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заместителем </w:t>
      </w:r>
      <w:r w:rsidR="00D9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делами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 его на особый контроль.</w:t>
      </w:r>
    </w:p>
    <w:p w:rsidR="00B32BF0" w:rsidRDefault="00471D22" w:rsidP="008E6C3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Отметка "Особый контроль" ставится на оригинале обращения по фактам коррупции. В дальнейшем обращение согласно резолюции главы 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заместит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 передается для исполнения специалисту по противодействию коррупции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является ответственным исполнителем 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рассмотрени</w:t>
      </w:r>
      <w:r w:rsidR="008E6C3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большей эффективности рассмотрения обращений по фактам коррупции также в качестве соисполнителей могут быть назначены иные структурные подразделения</w:t>
      </w:r>
      <w:r w:rsidR="00B32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BF0" w:rsidRDefault="00471D22" w:rsidP="00B32BF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Обращение, содержащее вопросы, решение которых не входит в компетенцию администрации</w:t>
      </w:r>
      <w:r w:rsidR="00D02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семи дней со дня регистрации направляется в соответствующие государственные органы либо иные органы с уведомлением заявителя о переадресации.</w:t>
      </w:r>
    </w:p>
    <w:p w:rsidR="00B32BF0" w:rsidRDefault="00471D22" w:rsidP="00B32BF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Обращение, содержащее сведения о готовящемся, совершаемом или совершенном противоправном деянии, а также о лице, его готовяще</w:t>
      </w:r>
      <w:r w:rsidR="0026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совершающем или совершившем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регистрировать и направлять в государственный орган в кратчайший срок.</w:t>
      </w:r>
    </w:p>
    <w:p w:rsidR="00B32BF0" w:rsidRDefault="00471D22" w:rsidP="00B32BF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его права обжаловать соответствующие решение или действие (бездействие) в установленном</w:t>
      </w:r>
      <w:r w:rsidR="0026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в суд.</w:t>
      </w:r>
    </w:p>
    <w:p w:rsidR="003C041D" w:rsidRDefault="00471D22" w:rsidP="009A4B2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текст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471D22" w:rsidRPr="00627473" w:rsidRDefault="00471D22" w:rsidP="002E21F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семьи, может быть оставлено без ответа по существу поставленных в нем вопросов с одновременным сообщением гражданину, направившему обращение, о недопус</w:t>
      </w:r>
      <w:r w:rsidR="002E21F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тимости злоупотребления правом.</w:t>
      </w:r>
    </w:p>
    <w:p w:rsidR="00B60E5D" w:rsidRDefault="00471D22" w:rsidP="00D11386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обращении содержится вопрос, на который гражданину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то должностное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</w:t>
      </w:r>
      <w:r w:rsidR="00B6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 О данном решении уведомляется гражданин, направивший обращение.</w:t>
      </w:r>
    </w:p>
    <w:p w:rsidR="0093678D" w:rsidRDefault="00471D22" w:rsidP="0093678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3678D" w:rsidRDefault="00471D22" w:rsidP="0093678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или организация имеет право обратиться в </w:t>
      </w:r>
      <w:r w:rsidR="009367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 прекращении рассмотрения обращения.</w:t>
      </w:r>
    </w:p>
    <w:p w:rsidR="006E67C7" w:rsidRDefault="00471D22" w:rsidP="00FC78A0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прекращении рассмотрения обращений граждан и организаций, в связи с поступившим от них заявлением о прекращении рассмотрения, должно быть принято только в том случае, если в поступившем обращении не содержится сведений о нарушении закона, прав, свобод и законных интересов гражданина, а также сведений о фактах коррупционных правонарушений и несоблюдения муниципальными служащими </w:t>
      </w:r>
      <w:r w:rsidR="00EB4F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служебному поведению.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C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Письменные обращения граждан и организаций, отнесенные к компетенции администрации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содержащие информацию о возможных коррупционных правонарушениях, совершенных муниципальными служащими 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несоблюдении требований к служебному поведению муниципальными служащими 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трех дней с момента поступления в 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регистрируются в журнале учета обращений граждан и организаций (юридических лиц) по фактам коррупции в </w:t>
      </w:r>
      <w:r w:rsidR="000F3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</w:p>
    <w:p w:rsidR="002F7461" w:rsidRDefault="006E67C7" w:rsidP="00FB241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5879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5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противодействию коррупции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анализ поступившего обращения и направляет доклад о результатах главе </w:t>
      </w:r>
      <w:r w:rsidR="00252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В случае принятия решения о проведении проверки в отношении фактов, изложенных в обращении, </w:t>
      </w:r>
      <w:r w:rsidR="00FB24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противодействию коррупции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проверочные мероприятия</w:t>
      </w:r>
      <w:r w:rsidR="00FB2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пределах своей компетенции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докладывает о результатах проведенной проверки главе</w:t>
      </w:r>
      <w:r w:rsidR="00FB2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B2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Доклад и материалы о результатах проведенной проверки, содержащие информацию о несоблюдении требований к служебному поведению муниципальными служащими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 принятия такого решения главой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рассматриваются на заседании Комиссии по соблюдению требований к служебному поведению муниципальных служащих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="00471D22"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 (далее - Комиссия).</w:t>
      </w:r>
    </w:p>
    <w:p w:rsidR="002F7461" w:rsidRPr="002E21F4" w:rsidRDefault="00471D22" w:rsidP="002E21F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Текущий контроль за соблюдением порядка рассмотрения обращений граждан и организаций (юридических лиц) (далее - заявитель) по вопросам коррупционных правонарушений, совершенных муниципальными служащими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осуществляется заместителем главы </w:t>
      </w:r>
      <w:r w:rsidR="002F746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курирующим деятельность по противодействию коррупции.</w:t>
      </w:r>
      <w:r w:rsidRPr="006274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F7461" w:rsidRPr="002E21F4" w:rsidRDefault="002F6B7B" w:rsidP="002E21F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6B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</w:t>
      </w:r>
    </w:p>
    <w:p w:rsidR="00584CA0" w:rsidRDefault="00471D22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 Порядку рассмотрения обращений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граждан и организаций о фактах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коррупционных правонарушений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несоблюдения муниципальными</w:t>
      </w:r>
      <w:r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служащими </w:t>
      </w:r>
      <w:r w:rsidR="00584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</w:p>
    <w:p w:rsidR="00471D22" w:rsidRPr="00497547" w:rsidRDefault="00584CA0" w:rsidP="00627473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Приаргунского муниципального округа</w:t>
      </w:r>
      <w:r w:rsidR="00471D22" w:rsidRPr="00497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требований к служебному поведению</w:t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30B9" w:rsidRDefault="00471D22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7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463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журнала</w:t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учета обращений граждан и организаций </w:t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(юридических лиц) о фактах коррупции </w:t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администрации Приаргунского </w:t>
      </w:r>
    </w:p>
    <w:p w:rsidR="00471D22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округа </w:t>
      </w:r>
      <w:r w:rsidR="00471D22" w:rsidRPr="006274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4630B9" w:rsidRDefault="004630B9" w:rsidP="0062747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86"/>
        <w:gridCol w:w="1134"/>
        <w:gridCol w:w="209"/>
        <w:gridCol w:w="1296"/>
        <w:gridCol w:w="1512"/>
        <w:gridCol w:w="1541"/>
        <w:gridCol w:w="1429"/>
        <w:gridCol w:w="1525"/>
      </w:tblGrid>
      <w:tr w:rsidR="00471D22" w:rsidRPr="00627473" w:rsidTr="004630B9">
        <w:trPr>
          <w:trHeight w:val="1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1D22" w:rsidRPr="00627473" w:rsidTr="004630B9">
        <w:tc>
          <w:tcPr>
            <w:tcW w:w="93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Журнал учета</w:t>
            </w:r>
          </w:p>
          <w:p w:rsidR="00471D22" w:rsidRPr="00627473" w:rsidRDefault="00471D22" w:rsidP="004630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обращений граждан и организаций (юридических лиц) о фактах коррупции в 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Приаргунского муниципального округа</w:t>
            </w:r>
          </w:p>
        </w:tc>
      </w:tr>
      <w:tr w:rsidR="00471D22" w:rsidRPr="00627473" w:rsidTr="0014749E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A0097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</w:t>
            </w:r>
            <w:proofErr w:type="spellEnd"/>
            <w:r w:rsidR="00147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1173ED" w:rsidRDefault="0014749E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  <w:r w:rsidR="00117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73ED" w:rsidRPr="0011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  <w:p w:rsidR="00471D22" w:rsidRPr="00627473" w:rsidRDefault="004630B9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теля</w:t>
            </w:r>
            <w:proofErr w:type="gramEnd"/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Краткое </w:t>
            </w:r>
            <w:proofErr w:type="gram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4749E" w:rsidRPr="001173ED" w:rsidRDefault="0014749E" w:rsidP="0014749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  <w:r w:rsidRPr="00117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наличии)</w:t>
            </w:r>
          </w:p>
          <w:p w:rsidR="00471D22" w:rsidRPr="00627473" w:rsidRDefault="004630B9" w:rsidP="004630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отруд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ника</w:t>
            </w:r>
            <w:proofErr w:type="spellEnd"/>
            <w:proofErr w:type="gramEnd"/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приняв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шего</w:t>
            </w:r>
            <w:proofErr w:type="spellEnd"/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71D22"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proofErr w:type="spellEnd"/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Подпись, дата </w:t>
            </w:r>
            <w:proofErr w:type="spellStart"/>
            <w:proofErr w:type="gram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proofErr w:type="gramEnd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Отметка об </w:t>
            </w:r>
            <w:proofErr w:type="spellStart"/>
            <w:proofErr w:type="gramStart"/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</w:t>
            </w:r>
            <w:r w:rsidR="00463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27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</w:t>
            </w:r>
            <w:proofErr w:type="spellEnd"/>
            <w:proofErr w:type="gramEnd"/>
          </w:p>
        </w:tc>
      </w:tr>
      <w:tr w:rsidR="00471D22" w:rsidRPr="00627473" w:rsidTr="0014749E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71D22" w:rsidRPr="00627473" w:rsidRDefault="00471D22" w:rsidP="0062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4922" w:rsidRPr="00627473" w:rsidRDefault="004C4922" w:rsidP="00627473">
      <w:pPr>
        <w:spacing w:after="0" w:line="240" w:lineRule="auto"/>
        <w:rPr>
          <w:sz w:val="28"/>
          <w:szCs w:val="28"/>
        </w:rPr>
      </w:pPr>
    </w:p>
    <w:sectPr w:rsidR="004C4922" w:rsidRPr="00627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266"/>
    <w:rsid w:val="00093BB1"/>
    <w:rsid w:val="000C7553"/>
    <w:rsid w:val="000F34E8"/>
    <w:rsid w:val="001173ED"/>
    <w:rsid w:val="00130BC8"/>
    <w:rsid w:val="0014749E"/>
    <w:rsid w:val="001C35C7"/>
    <w:rsid w:val="002525ED"/>
    <w:rsid w:val="00267E04"/>
    <w:rsid w:val="0029340A"/>
    <w:rsid w:val="002E21F4"/>
    <w:rsid w:val="002F6B7B"/>
    <w:rsid w:val="002F7461"/>
    <w:rsid w:val="0034481B"/>
    <w:rsid w:val="00375428"/>
    <w:rsid w:val="00386FB2"/>
    <w:rsid w:val="003C041D"/>
    <w:rsid w:val="003D7A88"/>
    <w:rsid w:val="003E7589"/>
    <w:rsid w:val="00452F29"/>
    <w:rsid w:val="004630B9"/>
    <w:rsid w:val="00467144"/>
    <w:rsid w:val="00471D22"/>
    <w:rsid w:val="00474447"/>
    <w:rsid w:val="00497547"/>
    <w:rsid w:val="004A69A3"/>
    <w:rsid w:val="004C4922"/>
    <w:rsid w:val="004F0B66"/>
    <w:rsid w:val="00524C3C"/>
    <w:rsid w:val="0057074E"/>
    <w:rsid w:val="00584CA0"/>
    <w:rsid w:val="005879AE"/>
    <w:rsid w:val="00591F6A"/>
    <w:rsid w:val="005B6F2F"/>
    <w:rsid w:val="005D71B8"/>
    <w:rsid w:val="00606412"/>
    <w:rsid w:val="00627473"/>
    <w:rsid w:val="0067433B"/>
    <w:rsid w:val="006B6BA9"/>
    <w:rsid w:val="006E67C7"/>
    <w:rsid w:val="00705047"/>
    <w:rsid w:val="007B6BA3"/>
    <w:rsid w:val="00822BA6"/>
    <w:rsid w:val="0084193C"/>
    <w:rsid w:val="008468E0"/>
    <w:rsid w:val="00862121"/>
    <w:rsid w:val="0088533D"/>
    <w:rsid w:val="008B1AFF"/>
    <w:rsid w:val="008E6C37"/>
    <w:rsid w:val="0092378C"/>
    <w:rsid w:val="0093678D"/>
    <w:rsid w:val="009A4B20"/>
    <w:rsid w:val="00A00977"/>
    <w:rsid w:val="00A12F52"/>
    <w:rsid w:val="00A43B2A"/>
    <w:rsid w:val="00A46CAB"/>
    <w:rsid w:val="00A53B7A"/>
    <w:rsid w:val="00AE6206"/>
    <w:rsid w:val="00B32BF0"/>
    <w:rsid w:val="00B3734C"/>
    <w:rsid w:val="00B60E5D"/>
    <w:rsid w:val="00B63247"/>
    <w:rsid w:val="00C04527"/>
    <w:rsid w:val="00C75AC5"/>
    <w:rsid w:val="00C763D8"/>
    <w:rsid w:val="00CC644C"/>
    <w:rsid w:val="00D02FF1"/>
    <w:rsid w:val="00D11386"/>
    <w:rsid w:val="00D915D9"/>
    <w:rsid w:val="00DC6081"/>
    <w:rsid w:val="00DE6266"/>
    <w:rsid w:val="00E278B2"/>
    <w:rsid w:val="00EA50F1"/>
    <w:rsid w:val="00EB1E06"/>
    <w:rsid w:val="00EB4F37"/>
    <w:rsid w:val="00EE7708"/>
    <w:rsid w:val="00F074E5"/>
    <w:rsid w:val="00F83765"/>
    <w:rsid w:val="00FA1D13"/>
    <w:rsid w:val="00FB0DB2"/>
    <w:rsid w:val="00FB241F"/>
    <w:rsid w:val="00FC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B2307-CEC0-4FB6-A09C-528B56E1A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71D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71D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1D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1D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7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71D22"/>
    <w:rPr>
      <w:color w:val="0000FF"/>
      <w:u w:val="single"/>
    </w:rPr>
  </w:style>
  <w:style w:type="paragraph" w:customStyle="1" w:styleId="headertext">
    <w:name w:val="headertext"/>
    <w:basedOn w:val="a"/>
    <w:rsid w:val="0047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471D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5B6F2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A43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448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E2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2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0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2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7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chta@priargunsk.e-zab.ru" TargetMode="External"/><Relationship Id="rId5" Type="http://schemas.openxmlformats.org/officeDocument/2006/relationships/hyperlink" Target="https://docs.cntd.ru/document/902209895" TargetMode="External"/><Relationship Id="rId4" Type="http://schemas.openxmlformats.org/officeDocument/2006/relationships/hyperlink" Target="https://docs.cntd.ru/document/902135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1948</Words>
  <Characters>11105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cp:lastPrinted>2022-06-01T02:28:00Z</cp:lastPrinted>
  <dcterms:created xsi:type="dcterms:W3CDTF">2022-06-01T02:29:00Z</dcterms:created>
  <dcterms:modified xsi:type="dcterms:W3CDTF">2022-06-02T00:58:00Z</dcterms:modified>
</cp:coreProperties>
</file>